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before="468" w:beforeLines="150"/>
        <w:jc w:val="center"/>
        <w:rPr>
          <w:rFonts w:ascii="方正小标宋_GBK" w:cs="方正小标宋_GBK" w:eastAsia="方正小标宋_GBK" w:hAnsi="方正小标宋_GBK"/>
          <w:bCs/>
          <w:color w:val="000000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bCs/>
          <w:color w:val="000000"/>
          <w:sz w:val="44"/>
          <w:szCs w:val="44"/>
        </w:rPr>
        <w:t>2022年“研究生科研素养提升”系列公益讲座</w:t>
      </w:r>
    </w:p>
    <w:p>
      <w:pPr>
        <w:pStyle w:val="style0"/>
        <w:snapToGrid w:val="false"/>
        <w:jc w:val="center"/>
        <w:rPr>
          <w:rFonts w:ascii="方正小标宋_GBK" w:cs="方正小标宋_GBK" w:eastAsia="方正小标宋_GBK" w:hAnsi="方正小标宋_GBK" w:hint="eastAsia"/>
          <w:bCs/>
          <w:color w:val="0000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bCs/>
          <w:color w:val="000000"/>
          <w:sz w:val="44"/>
          <w:szCs w:val="44"/>
          <w:lang w:val="en-US" w:eastAsia="zh-CN"/>
        </w:rPr>
        <w:t>课 程 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 w:val="false"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jc w:val="center"/>
        <w:textAlignment w:val="auto"/>
        <w:rPr>
          <w:rFonts w:ascii="Times New Roman" w:cs="Times New Roman" w:eastAsia="仿宋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仿宋" w:hAnsi="Times New Roman" w:hint="eastAsia"/>
          <w:color w:val="000000"/>
          <w:sz w:val="32"/>
          <w:szCs w:val="32"/>
          <w:lang w:val="en-US" w:eastAsia="zh-CN"/>
        </w:rPr>
        <w:t>弘扬科学家精神，培养创新者思维</w:t>
      </w:r>
    </w:p>
    <w:p>
      <w:pPr>
        <w:pStyle w:val="style0"/>
        <w:overflowPunct w:val="false"/>
        <w:spacing w:lineRule="exact" w:line="580"/>
        <w:ind w:firstLine="640" w:firstLineChars="200"/>
        <w:jc w:val="center"/>
        <w:rPr>
          <w:rFonts w:ascii="Times New Roman" w:cs="Times New Roman" w:eastAsia="仿宋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仿宋" w:hAnsi="Times New Roman" w:hint="eastAsia"/>
          <w:color w:val="000000"/>
          <w:sz w:val="32"/>
          <w:szCs w:val="32"/>
          <w:lang w:val="en-US" w:eastAsia="zh-CN"/>
        </w:rPr>
        <w:t>强化问题意识，练习学术表达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 w:val="false"/>
        <w:topLinePunct w:val="false"/>
        <w:autoSpaceDE/>
        <w:autoSpaceDN/>
        <w:bidi w:val="false"/>
        <w:adjustRightInd/>
        <w:snapToGrid/>
        <w:spacing w:after="157" w:afterLines="50" w:lineRule="exact" w:line="580"/>
        <w:ind w:firstLine="640" w:firstLineChars="200"/>
        <w:jc w:val="center"/>
        <w:textAlignment w:val="auto"/>
        <w:rPr>
          <w:rFonts w:ascii="方正小标宋_GBK" w:cs="方正小标宋_GBK" w:eastAsia="方正小标宋_GBK" w:hAnsi="方正小标宋_GBK" w:hint="eastAsia"/>
          <w:b/>
          <w:bCs w:val="false"/>
          <w:color w:val="ff0000"/>
          <w:sz w:val="28"/>
          <w:szCs w:val="28"/>
          <w:lang w:val="en-US" w:eastAsia="zh-CN"/>
        </w:rPr>
      </w:pPr>
      <w:r>
        <w:rPr>
          <w:rFonts w:ascii="Times New Roman" w:cs="Times New Roman" w:eastAsia="仿宋" w:hAnsi="Times New Roman" w:hint="eastAsia"/>
          <w:color w:val="000000"/>
          <w:sz w:val="32"/>
          <w:szCs w:val="32"/>
          <w:lang w:val="en-US" w:eastAsia="zh-CN"/>
        </w:rPr>
        <w:t>学会做研究，做好的研究</w:t>
      </w:r>
    </w:p>
    <w:tbl>
      <w:tblPr>
        <w:tblStyle w:val="style154"/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64"/>
        <w:gridCol w:w="1549"/>
        <w:gridCol w:w="3012"/>
        <w:gridCol w:w="3520"/>
      </w:tblGrid>
      <w:tr>
        <w:trPr>
          <w:trHeight w:val="502" w:hRule="atLeast"/>
          <w:jc w:val="center"/>
        </w:trPr>
        <w:tc>
          <w:tcPr>
            <w:tcW w:w="119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日期</w:t>
            </w:r>
          </w:p>
        </w:tc>
        <w:tc>
          <w:tcPr>
            <w:tcW w:w="128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模块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时间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报告主题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报告专家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1285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/>
              </w:rPr>
              <w:t>开课</w:t>
            </w:r>
            <w:bookmarkStart w:id="0" w:name="_GoBack"/>
            <w:bookmarkEnd w:id="0"/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/>
              </w:rPr>
              <w:t>仪式</w:t>
            </w:r>
          </w:p>
        </w:tc>
        <w:tc>
          <w:tcPr>
            <w:tcW w:w="1339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8:45-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9:00</w:t>
            </w:r>
          </w:p>
        </w:tc>
        <w:tc>
          <w:tcPr>
            <w:tcW w:w="6697" w:type="dxa"/>
            <w:gridSpan w:val="2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</w:rPr>
              <w:t>主持人：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  <w:t>白峰杉 教授 清华大学</w:t>
            </w:r>
          </w:p>
        </w:tc>
      </w:tr>
      <w:tr>
        <w:tblPrEx/>
        <w:trPr>
          <w:trHeight w:val="742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339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开课</w:t>
            </w:r>
            <w:r>
              <w:rPr>
                <w:rFonts w:ascii="Times New Roman" w:cs="Times New Roman" w:eastAsia="宋体" w:hAnsi="Times New Roman" w:hint="eastAsia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寄语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>中国学位与研究生教育学会</w:t>
            </w:r>
          </w:p>
        </w:tc>
      </w:tr>
      <w:bookmarkStart w:id="1" w:name="_Hlk46311068"/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模块一：</w:t>
            </w:r>
            <w:bookmarkStart w:id="2" w:name="_Hlk46493234"/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科研</w:t>
            </w:r>
            <w:bookmarkEnd w:id="2"/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思维培养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9:00-10:30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/>
              </w:rPr>
              <w:t>我的20年跨界创新研究与研究生和本科生培养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郑泉水 教授，中国科学院院士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清华大学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10:30-12:00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如何做一个学问人——学术研究的“道”与“术”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樊和平（樊浩） 人文社科资深教授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东南大学</w:t>
            </w:r>
          </w:p>
        </w:tc>
      </w:tr>
      <w:bookmarkEnd w:id="1"/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模块二：科研工具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使用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14:00-15:30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/>
              </w:rPr>
              <w:t>中外文数据库助力科学研究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  <w:t>单向群 学科支持部主任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  <w:t>中国人民大学图书馆</w:t>
            </w:r>
          </w:p>
        </w:tc>
      </w:tr>
      <w:bookmarkStart w:id="3" w:name="_Hlk46311113"/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善用学习工具提高科研效率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  <w:t>徐铭梓 高级培训经理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  <w:t>中国知网·知网研学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eastAsia="zh-CN"/>
              </w:rPr>
              <w:t>11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1285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模块三：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文献阅读与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研究方法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9:00-10:30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文献阅读、写作与科研思维培养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>周雍进 研究员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>中科院大连化学物理研究所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10:30-12:00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研究生如何做好研究？——问题意识、文献研读与论文写作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/>
              </w:rPr>
              <w:t>马亮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/>
              </w:rPr>
              <w:t>教授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/>
              </w:rPr>
              <w:t>中国人民大学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>公共管理学院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85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模块四：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论文写作与发表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14:00-15:30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  <w:t>从一而终式写作：论文选题与结构设计的那些事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  <w:t>刘军强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  <w:t>教授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  <w:t>清华大学社会科学学院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编辑谈向中文科技期刊投稿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刘森 副主编，副编审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《清华大学学报（自然科学版）》</w:t>
            </w:r>
          </w:p>
        </w:tc>
      </w:tr>
      <w:bookmarkEnd w:id="3"/>
      <w:tr>
        <w:tblPrEx/>
        <w:trPr>
          <w:trHeight w:val="737" w:hRule="atLeast"/>
          <w:jc w:val="center"/>
        </w:trPr>
        <w:tc>
          <w:tcPr>
            <w:tcW w:w="1192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  <w:lang w:eastAsia="zh-CN"/>
              </w:rPr>
              <w:t>12</w:t>
            </w:r>
            <w:r>
              <w:rPr>
                <w:rFonts w:ascii="Times New Roman" w:cs="Times New Roman" w:eastAsia="宋体" w:hAnsi="Times New Roman" w:hint="default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1285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模块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学术规范与心理健康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9:00-10:30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学术研究与学术规范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和鸿鹏 助理教授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北京航空航天大学人文与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社会科学高等研究院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10:30-12:00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快乐又有意义？给研究生萌新的10个心理锦囊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>张晓文 副教授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>武汉理工大学职业发展中心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模块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未来规划与素养要求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14:00-15: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“人工智能＋”战略背景下的创新人才培养挑战与机遇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高焱 业务副总裁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商汤科技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:00-1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新时代研究生的职业规划与素质要求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郑利苗 总经理助理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广汽集团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:00-1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把论文写在祖国大地上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 xml:space="preserve">王庭秦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/>
              </w:rPr>
              <w:t>副研究员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，红旗村第一书记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  <w:t>北京林业大学×内蒙古科右前旗</w:t>
            </w:r>
          </w:p>
        </w:tc>
      </w:tr>
      <w:tr>
        <w:tblPrEx/>
        <w:trPr>
          <w:trHeight w:val="737" w:hRule="atLeast"/>
          <w:jc w:val="center"/>
        </w:trPr>
        <w:tc>
          <w:tcPr>
            <w:tcW w:w="1192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/>
                <w:color w:val="auto"/>
                <w:kern w:val="0"/>
                <w:sz w:val="22"/>
                <w:szCs w:val="22"/>
                <w:lang w:val="en-US" w:eastAsia="zh-CN"/>
              </w:rPr>
              <w:t>结课仪式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0-17: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结课</w:t>
            </w:r>
            <w:r>
              <w:rPr>
                <w:rFonts w:ascii="Times New Roman" w:cs="Times New Roman" w:eastAsia="宋体" w:hAnsi="Times New Roman" w:hint="eastAsia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  <w:t>寄语</w:t>
            </w:r>
          </w:p>
        </w:tc>
        <w:tc>
          <w:tcPr>
            <w:tcW w:w="360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b w:val="false"/>
                <w:bCs w:val="false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color w:val="000000"/>
                <w:kern w:val="0"/>
                <w:sz w:val="22"/>
                <w:szCs w:val="22"/>
                <w:lang w:val="en-US" w:bidi="ar-SA" w:eastAsia="zh-CN"/>
              </w:rPr>
              <w:t>中国学位与研究生教育学会</w:t>
            </w:r>
          </w:p>
        </w:tc>
      </w:tr>
    </w:tbl>
    <w:p>
      <w:pPr>
        <w:pStyle w:val="style0"/>
        <w:snapToGrid w:val="false"/>
        <w:spacing w:lineRule="auto" w:line="360"/>
        <w:ind w:firstLine="420" w:firstLineChars="0"/>
        <w:jc w:val="left"/>
        <w:rPr>
          <w:rFonts w:ascii="Times New Roman" w:cs="Times New Roman" w:hAnsi="Times New Roman" w:hint="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cs="Times New Roman" w:hAnsi="Times New Roman" w:hint="default"/>
          <w:b w:val="false"/>
          <w:bCs/>
          <w:color w:val="auto"/>
          <w:kern w:val="0"/>
          <w:sz w:val="24"/>
          <w:szCs w:val="24"/>
          <w:lang w:val="en-US" w:eastAsia="zh-C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4845050</wp:posOffset>
            </wp:positionH>
            <wp:positionV relativeFrom="paragraph">
              <wp:posOffset>123189</wp:posOffset>
            </wp:positionV>
            <wp:extent cx="1339215" cy="1339215"/>
            <wp:effectExtent l="0" t="0" r="1905" b="1905"/>
            <wp:wrapNone/>
            <wp:docPr id="1026" name="图片 12" descr="未命名码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9215" cy="1339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napToGrid w:val="false"/>
        <w:spacing w:lineRule="auto" w:line="360"/>
        <w:ind w:firstLine="420" w:firstLineChars="0"/>
        <w:jc w:val="left"/>
        <w:rPr>
          <w:rFonts w:ascii="Times New Roman" w:cs="Times New Roman" w:hAnsi="Times New Roman" w:hint="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cs="Times New Roman" w:hAnsi="Times New Roman" w:hint="eastAsia"/>
          <w:b/>
          <w:color w:val="auto"/>
          <w:kern w:val="0"/>
          <w:sz w:val="24"/>
          <w:szCs w:val="24"/>
          <w:lang w:val="en-US" w:eastAsia="zh-CN"/>
        </w:rPr>
        <w:t>备注：</w:t>
      </w:r>
    </w:p>
    <w:p>
      <w:pPr>
        <w:pStyle w:val="style0"/>
        <w:snapToGrid w:val="false"/>
        <w:spacing w:lineRule="auto" w:line="360"/>
        <w:ind w:firstLine="420" w:firstLineChars="0"/>
        <w:jc w:val="left"/>
        <w:rPr>
          <w:rFonts w:ascii="Times New Roman" w:cs="Times New Roman" w:hAnsi="Times New Roman" w:hint="eastAsia"/>
          <w:b w:val="false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cs="Times New Roman" w:hAnsi="Times New Roman" w:hint="eastAsia"/>
          <w:b w:val="false"/>
          <w:bCs/>
          <w:color w:val="auto"/>
          <w:kern w:val="0"/>
          <w:sz w:val="24"/>
          <w:szCs w:val="24"/>
          <w:lang w:val="en-US" w:eastAsia="zh-CN"/>
        </w:rPr>
        <w:t>报名和直播网址：</w:t>
      </w:r>
      <w:r>
        <w:rPr>
          <w:rFonts w:ascii="Times New Roman" w:cs="Times New Roman" w:hAnsi="Times New Roman" w:hint="eastAsia"/>
          <w:b w:val="false"/>
          <w:bCs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ascii="Times New Roman" w:cs="Times New Roman" w:hAnsi="Times New Roman" w:hint="eastAsia"/>
          <w:b w:val="false"/>
          <w:bCs/>
          <w:color w:val="auto"/>
          <w:kern w:val="0"/>
          <w:sz w:val="24"/>
          <w:szCs w:val="24"/>
          <w:lang w:val="en-US" w:eastAsia="zh-CN"/>
        </w:rPr>
        <w:instrText xml:space="preserve"> HYPERLINK "https://ssox.cnki.net/activity/PGSL.html" </w:instrText>
      </w:r>
      <w:r>
        <w:rPr>
          <w:rFonts w:ascii="Times New Roman" w:cs="Times New Roman" w:hAnsi="Times New Roman" w:hint="eastAsia"/>
          <w:b w:val="false"/>
          <w:bCs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rStyle w:val="style85"/>
          <w:rFonts w:ascii="Times New Roman" w:cs="Times New Roman" w:hAnsi="Times New Roman" w:hint="eastAsia"/>
          <w:b w:val="false"/>
          <w:bCs/>
          <w:kern w:val="0"/>
          <w:sz w:val="24"/>
          <w:szCs w:val="24"/>
          <w:lang w:val="en-US" w:eastAsia="zh-CN"/>
        </w:rPr>
        <w:t>https://ssox.cnki.net/activity/PGSL.html</w:t>
      </w:r>
      <w:r>
        <w:rPr>
          <w:rFonts w:ascii="Times New Roman" w:cs="Times New Roman" w:hAnsi="Times New Roman" w:hint="eastAsia"/>
          <w:b w:val="false"/>
          <w:bCs/>
          <w:color w:val="auto"/>
          <w:kern w:val="0"/>
          <w:sz w:val="24"/>
          <w:szCs w:val="24"/>
          <w:lang w:val="en-US" w:eastAsia="zh-CN"/>
        </w:rPr>
        <w:fldChar w:fldCharType="end"/>
      </w:r>
    </w:p>
    <w:p>
      <w:pPr>
        <w:pStyle w:val="style0"/>
        <w:snapToGrid w:val="false"/>
        <w:spacing w:lineRule="auto" w:line="360"/>
        <w:ind w:firstLine="420" w:firstLineChars="0"/>
        <w:jc w:val="left"/>
        <w:rPr>
          <w:rFonts w:hint="default"/>
          <w:lang w:val="en-US" w:eastAsia="zh-CN"/>
        </w:rPr>
      </w:pPr>
      <w:r>
        <w:rPr>
          <w:rFonts w:ascii="Times New Roman" w:cs="Times New Roman" w:hAnsi="Times New Roman" w:hint="eastAsia"/>
          <w:b w:val="false"/>
          <w:bCs/>
          <w:color w:val="auto"/>
          <w:kern w:val="0"/>
          <w:sz w:val="24"/>
          <w:szCs w:val="24"/>
          <w:lang w:val="en-US" w:eastAsia="zh-CN"/>
        </w:rPr>
        <w:t>或扫码报名</w:t>
      </w:r>
    </w:p>
    <w:p>
      <w:pPr>
        <w:pStyle w:val="style0"/>
        <w:snapToGrid w:val="false"/>
        <w:jc w:val="center"/>
        <w:rPr>
          <w:rFonts w:ascii="方正小标宋_GBK" w:cs="方正小标宋_GBK" w:eastAsia="方正小标宋_GBK" w:hAnsi="方正小标宋_GBK" w:hint="eastAsia"/>
          <w:bCs/>
          <w:color w:val="000000"/>
          <w:sz w:val="44"/>
          <w:szCs w:val="44"/>
          <w:lang w:val="en-US" w:eastAsia="zh-CN"/>
        </w:rPr>
      </w:pPr>
    </w:p>
    <w:sectPr>
      <w:headerReference w:type="default" r:id="rId3"/>
      <w:footerReference w:type="default" r:id="rId4"/>
      <w:headerReference w:type="first" r:id="rId5"/>
      <w:pgSz w:w="11906" w:h="16838" w:orient="portrait"/>
      <w:pgMar w:top="1474" w:right="1474" w:bottom="1474" w:left="1474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widowControl w:val="false"/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  <w:between w:val="none" w:sz="0" w:space="0" w:color="auto"/>
      </w:pBdr>
      <w:snapToGrid w:val="false"/>
      <w:jc w:val="left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widowControl w:val="false"/>
      <w:pBdr>
        <w:left w:val="none" w:sz="0" w:space="4" w:color="auto"/>
        <w:right w:val="none" w:sz="0" w:space="4" w:color="auto"/>
        <w:top w:val="none" w:sz="0" w:space="1" w:color="auto"/>
        <w:bottom w:val="single" w:sz="12" w:space="1" w:color="auto"/>
        <w:between w:val="none" w:sz="0" w:space="0" w:color="auto"/>
      </w:pBdr>
      <w:snapToGrid w:val="false"/>
      <w:jc w:val="distribute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4248150</wp:posOffset>
              </wp:positionH>
              <wp:positionV relativeFrom="paragraph">
                <wp:posOffset>41910</wp:posOffset>
              </wp:positionV>
              <wp:extent cx="634" cy="467994"/>
              <wp:effectExtent l="4445" t="0" r="10160" b="4445"/>
              <wp:wrapNone/>
              <wp:docPr id="4097" name="直接连接符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H="1">
                        <a:off x="0" y="0"/>
                        <a:ext cx="634" cy="467994"/>
                      </a:xfrm>
                      <a:prstGeom prst="line"/>
                      <a:ln cmpd="sng" cap="flat" w="6350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line id="4097" filled="f" stroked="t" from="334.5pt,3.3000002pt" to="334.55pt,40.149998pt" style="position:absolute;z-index:2;mso-position-horizontal-relative:text;mso-position-vertical-relative:text;mso-width-relative:page;mso-height-relative:page;mso-wrap-distance-left:0.0pt;mso-wrap-distance-right:0.0pt;visibility:visible;flip:x;">
              <v:stroke joinstyle="miter" weight="0.5pt"/>
              <v:fill/>
            </v:line>
          </w:pict>
        </mc:Fallback>
      </mc:AlternateContent>
    </w:r>
    <w:r>
      <w:rPr/>
      <w:drawing>
        <wp:inline distL="0" distT="0" distB="0" distR="0">
          <wp:extent cx="2164080" cy="465455"/>
          <wp:effectExtent l="0" t="0" r="0" b="6985"/>
          <wp:docPr id="4098" name="图片 7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164080" cy="465455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</w:t>
    </w:r>
    <w:r>
      <w:rPr>
        <w:rFonts w:hint="eastAsia"/>
      </w:rPr>
      <w:drawing>
        <wp:inline distL="0" distT="0" distB="0" distR="0">
          <wp:extent cx="1629410" cy="505460"/>
          <wp:effectExtent l="0" t="0" r="0" b="12700"/>
          <wp:docPr id="4099" name="图片 8" descr="c5d25b506c250b1df7a3d71ea15298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/>
                </pic:nvPicPr>
                <pic:blipFill>
                  <a:blip r:embed="rId2" cstate="print"/>
                  <a:srcRect l="0" t="19809" r="6023" b="18924"/>
                  <a:stretch/>
                </pic:blipFill>
                <pic:spPr>
                  <a:xfrm rot="0">
                    <a:off x="0" y="0"/>
                    <a:ext cx="1629410" cy="505460"/>
                  </a:xfrm>
                  <a:prstGeom prst="rect"/>
                </pic:spPr>
              </pic:pic>
            </a:graphicData>
          </a:graphic>
        </wp:inline>
      </w:drawing>
    </w:r>
    <w:r>
      <w:rPr/>
      <w:drawing>
        <wp:inline distL="0" distT="0" distB="0" distR="0">
          <wp:extent cx="1370330" cy="450850"/>
          <wp:effectExtent l="0" t="0" r="1270" b="6350"/>
          <wp:docPr id="4100" name="图片 9" descr="C:\Users\wangyy\Desktop\资源 2@2x-8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9"/>
                  <pic:cNvPicPr/>
                </pic:nvPicPr>
                <pic:blipFill>
                  <a:blip r:embed="rId3" cstate="print"/>
                  <a:srcRect l="0" t="0" r="0" b="0"/>
                  <a:stretch/>
                </pic:blipFill>
                <pic:spPr>
                  <a:xfrm rot="0">
                    <a:off x="0" y="0"/>
                    <a:ext cx="1370330" cy="450850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paragraph" w:styleId="style2">
    <w:name w:val="heading 2"/>
    <w:basedOn w:val="style0"/>
    <w:next w:val="style0"/>
    <w:link w:val="style4100"/>
    <w:qFormat/>
    <w:uiPriority w:val="0"/>
    <w:pPr>
      <w:spacing w:beforeAutospacing="true" w:afterAutospacing="true"/>
      <w:jc w:val="left"/>
      <w:outlineLvl w:val="1"/>
    </w:pPr>
    <w:rPr>
      <w:rFonts w:ascii="宋体" w:cs="Times New Roman" w:eastAsia="宋体" w:hAnsi="宋体" w:hint="eastAsia"/>
      <w:b/>
      <w:kern w:val="0"/>
      <w:sz w:val="36"/>
      <w:szCs w:val="36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2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0">
    <w:name w:val="标题 2 字符"/>
    <w:basedOn w:val="style65"/>
    <w:next w:val="style4100"/>
    <w:link w:val="style2"/>
    <w:qFormat/>
    <w:uiPriority w:val="0"/>
    <w:rPr>
      <w:rFonts w:ascii="宋体" w:cs="Times New Roman" w:eastAsia="宋体" w:hAnsi="宋体"/>
      <w:b/>
      <w:kern w:val="0"/>
      <w:sz w:val="36"/>
      <w:szCs w:val="36"/>
    </w:rPr>
  </w:style>
  <w:style w:type="character" w:customStyle="1" w:styleId="style4101">
    <w:name w:val="批注文字 字符"/>
    <w:basedOn w:val="style65"/>
    <w:next w:val="style4101"/>
    <w:link w:val="style30"/>
    <w:qFormat/>
    <w:uiPriority w:val="99"/>
    <w:rPr>
      <w:rFonts w:ascii="等线" w:cs="宋体" w:eastAsia="等线" w:hAnsi="等线"/>
      <w:kern w:val="2"/>
      <w:sz w:val="21"/>
      <w:szCs w:val="22"/>
    </w:rPr>
  </w:style>
  <w:style w:type="character" w:customStyle="1" w:styleId="style4102">
    <w:name w:val="批注主题 字符"/>
    <w:basedOn w:val="style4101"/>
    <w:next w:val="style4102"/>
    <w:link w:val="style106"/>
    <w:qFormat/>
    <w:uiPriority w:val="99"/>
    <w:rPr>
      <w:rFonts w:ascii="等线" w:cs="宋体" w:eastAsia="等线" w:hAnsi="等线"/>
      <w:b/>
      <w:bCs/>
      <w:kern w:val="2"/>
      <w:sz w:val="21"/>
      <w:szCs w:val="22"/>
    </w:rPr>
  </w:style>
  <w:style w:type="paragraph" w:customStyle="1" w:styleId="style4103">
    <w:name w:val="Revision_d164aaca-0b88-4ab0-a12a-bab164ec56e9"/>
    <w:next w:val="style4103"/>
    <w:qFormat/>
    <w:uiPriority w:val="99"/>
    <w:pPr/>
    <w:rPr>
      <w:rFonts w:ascii="等线" w:cs="宋体" w:eastAsia="等线" w:hAnsi="等线"/>
      <w:kern w:val="2"/>
      <w:sz w:val="21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699</Words>
  <Pages>2</Pages>
  <Characters>903</Characters>
  <Application>WPS Office</Application>
  <DocSecurity>0</DocSecurity>
  <Paragraphs>132</Paragraphs>
  <ScaleCrop>false</ScaleCrop>
  <LinksUpToDate>false</LinksUpToDate>
  <CharactersWithSpaces>931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2022-07-18T01:40:00Z</dcterms:created>
  <dc:creator>gll</dc:creator>
  <lastModifiedBy>M2002J9E</lastModifiedBy>
  <lastPrinted>2022-07-27T01:22:24Z</lastPrinted>
  <dcterms:modified xsi:type="dcterms:W3CDTF">2022-07-27T04:02:41Z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45F44B80B2844C268AE835C4D369E4FA</vt:lpwstr>
  </property>
  <property fmtid="{D5CDD505-2E9C-101B-9397-08002B2CF9AE}" pid="4" name="KSOSaveFontToCloudKey">
    <vt:lpwstr>353431139_cloud</vt:lpwstr>
  </property>
</Properties>
</file>